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D27AAC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7C3EF9" w:rsidRPr="007C3EF9">
        <w:t xml:space="preserve"> </w:t>
      </w:r>
      <w:r w:rsidR="007C3EF9" w:rsidRPr="007C3EF9">
        <w:rPr>
          <w:bCs/>
          <w:noProof w:val="0"/>
          <w:sz w:val="24"/>
          <w:szCs w:val="24"/>
        </w:rPr>
        <w:t>2110277</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96AB7A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E17073">
        <w:rPr>
          <w:rFonts w:cs="Arial"/>
          <w:b/>
          <w:bCs/>
          <w:sz w:val="24"/>
          <w:szCs w:val="24"/>
        </w:rPr>
        <w:t>15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01FB7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E17073" w:rsidRPr="00E17073">
        <w:rPr>
          <w:rFonts w:ascii="Arial" w:hAnsi="Arial" w:cs="Arial"/>
          <w:b/>
          <w:bCs/>
          <w:sz w:val="24"/>
        </w:rPr>
        <w:t>LTE based 5G terrestrial broadcast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1599251" w:rsidR="00056BDE" w:rsidRPr="00056BDE" w:rsidRDefault="006C27C9" w:rsidP="00056BDE">
      <w:r>
        <w:t xml:space="preserve">Initial drafts on NR and LTE UE features have been made available already on RAN1 reflector [1, 2]. In this contribution we present our views on the UE features for </w:t>
      </w:r>
      <w:r w:rsidR="00E17073" w:rsidRPr="00E17073">
        <w:t>LTE based 5G terrestrial broadcast</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258427BB" w:rsidR="006C27C9" w:rsidRPr="00E17073" w:rsidRDefault="00E17073" w:rsidP="00E17073">
      <w:pPr>
        <w:pStyle w:val="ListParagraph"/>
        <w:numPr>
          <w:ilvl w:val="0"/>
          <w:numId w:val="30"/>
        </w:numPr>
        <w:rPr>
          <w:b/>
          <w:bCs/>
          <w:sz w:val="20"/>
          <w:szCs w:val="20"/>
        </w:rPr>
      </w:pPr>
      <w:r w:rsidRPr="00E17073">
        <w:rPr>
          <w:b/>
          <w:bCs/>
          <w:sz w:val="20"/>
          <w:szCs w:val="20"/>
        </w:rPr>
        <w:t>3-1:</w:t>
      </w:r>
    </w:p>
    <w:p w14:paraId="59F4FAA9" w14:textId="4D074D7A" w:rsidR="00E17073" w:rsidRPr="00E17073" w:rsidRDefault="00E17073" w:rsidP="0035705F">
      <w:pPr>
        <w:pStyle w:val="CommentText"/>
        <w:numPr>
          <w:ilvl w:val="1"/>
          <w:numId w:val="30"/>
        </w:numPr>
      </w:pPr>
      <w:r w:rsidRPr="00E17073">
        <w:rPr>
          <w:rStyle w:val="CommentReference"/>
          <w:rFonts w:eastAsia="MS Gothic"/>
          <w:sz w:val="20"/>
        </w:rPr>
        <w:t/>
      </w:r>
      <w:r w:rsidRPr="00E17073">
        <w:rPr>
          <w:rStyle w:val="CommentReference"/>
          <w:rFonts w:eastAsia="MS Gothic"/>
          <w:sz w:val="20"/>
        </w:rPr>
        <w:t>Regarding TBD on listing separate components for different bandwidths, it should be noted that components cannot be individually supported/not supported. Moreover, f</w:t>
      </w:r>
      <w:r w:rsidRPr="00E17073">
        <w:t xml:space="preserve">rom RAN1 point of view there is no reason for separate indication of bandwidths, and hence this FG should be a simple supported/not supported indication for all bandwidths. </w:t>
      </w: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728F5EA5" w:rsidR="001337A5" w:rsidRDefault="006C27C9" w:rsidP="001F201D">
      <w:r>
        <w:t xml:space="preserve">In this contribution we have presented our views on UE features for </w:t>
      </w:r>
      <w:r w:rsidR="00E17073" w:rsidRPr="002D4D40">
        <w:rPr>
          <w:lang w:val="en-US"/>
        </w:rPr>
        <w:t>LTE based 5G terrestrial broadcast</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E17073" w:rsidRPr="00E17073" w14:paraId="7988800A" w14:textId="77777777" w:rsidTr="00B96F1E">
        <w:tc>
          <w:tcPr>
            <w:tcW w:w="2648" w:type="dxa"/>
            <w:tcBorders>
              <w:top w:val="single" w:sz="4" w:space="0" w:color="auto"/>
              <w:left w:val="single" w:sz="4" w:space="0" w:color="auto"/>
              <w:bottom w:val="single" w:sz="4" w:space="0" w:color="auto"/>
              <w:right w:val="single" w:sz="4" w:space="0" w:color="auto"/>
            </w:tcBorders>
            <w:hideMark/>
          </w:tcPr>
          <w:p w14:paraId="3C1F4203" w14:textId="77777777" w:rsidR="00E17073" w:rsidRPr="00E17073" w:rsidRDefault="00E17073" w:rsidP="00B96F1E">
            <w:pPr>
              <w:pStyle w:val="TAH"/>
              <w:rPr>
                <w:rFonts w:cs="Arial"/>
              </w:rPr>
            </w:pPr>
            <w:r w:rsidRPr="00E17073">
              <w:rPr>
                <w:rFonts w:cs="Arial"/>
              </w:rPr>
              <w:lastRenderedPageBreak/>
              <w:t>Features</w:t>
            </w:r>
          </w:p>
        </w:tc>
        <w:tc>
          <w:tcPr>
            <w:tcW w:w="727" w:type="dxa"/>
            <w:tcBorders>
              <w:top w:val="single" w:sz="4" w:space="0" w:color="auto"/>
              <w:left w:val="single" w:sz="4" w:space="0" w:color="auto"/>
              <w:bottom w:val="single" w:sz="4" w:space="0" w:color="auto"/>
              <w:right w:val="single" w:sz="4" w:space="0" w:color="auto"/>
            </w:tcBorders>
            <w:hideMark/>
          </w:tcPr>
          <w:p w14:paraId="16345039" w14:textId="77777777" w:rsidR="00E17073" w:rsidRPr="00E17073" w:rsidRDefault="00E17073" w:rsidP="00B96F1E">
            <w:pPr>
              <w:pStyle w:val="TAH"/>
              <w:rPr>
                <w:rFonts w:cs="Arial"/>
              </w:rPr>
            </w:pPr>
            <w:r w:rsidRPr="00E17073">
              <w:rPr>
                <w:rFonts w:cs="Arial"/>
              </w:rPr>
              <w:t>Index</w:t>
            </w:r>
          </w:p>
        </w:tc>
        <w:tc>
          <w:tcPr>
            <w:tcW w:w="1453" w:type="dxa"/>
            <w:tcBorders>
              <w:top w:val="single" w:sz="4" w:space="0" w:color="auto"/>
              <w:left w:val="single" w:sz="4" w:space="0" w:color="auto"/>
              <w:bottom w:val="single" w:sz="4" w:space="0" w:color="auto"/>
              <w:right w:val="single" w:sz="4" w:space="0" w:color="auto"/>
            </w:tcBorders>
            <w:hideMark/>
          </w:tcPr>
          <w:p w14:paraId="6FF65A18" w14:textId="77777777" w:rsidR="00E17073" w:rsidRPr="00E17073" w:rsidRDefault="00E17073" w:rsidP="00B96F1E">
            <w:pPr>
              <w:pStyle w:val="TAH"/>
              <w:rPr>
                <w:rFonts w:cs="Arial"/>
              </w:rPr>
            </w:pPr>
            <w:r w:rsidRPr="00E17073">
              <w:rPr>
                <w:rFonts w:cs="Arial"/>
              </w:rPr>
              <w:t>Feature group</w:t>
            </w:r>
          </w:p>
        </w:tc>
        <w:tc>
          <w:tcPr>
            <w:tcW w:w="2346" w:type="dxa"/>
            <w:tcBorders>
              <w:top w:val="single" w:sz="4" w:space="0" w:color="auto"/>
              <w:left w:val="single" w:sz="4" w:space="0" w:color="auto"/>
              <w:bottom w:val="single" w:sz="4" w:space="0" w:color="auto"/>
              <w:right w:val="single" w:sz="4" w:space="0" w:color="auto"/>
            </w:tcBorders>
            <w:hideMark/>
          </w:tcPr>
          <w:p w14:paraId="58EB3E2F" w14:textId="77777777" w:rsidR="00E17073" w:rsidRPr="00E17073" w:rsidRDefault="00E17073" w:rsidP="00B96F1E">
            <w:pPr>
              <w:pStyle w:val="TAH"/>
              <w:rPr>
                <w:rFonts w:cs="Arial"/>
              </w:rPr>
            </w:pPr>
            <w:r w:rsidRPr="00E17073">
              <w:rPr>
                <w:rFonts w:cs="Arial"/>
              </w:rPr>
              <w:t>Components</w:t>
            </w:r>
          </w:p>
        </w:tc>
        <w:tc>
          <w:tcPr>
            <w:tcW w:w="1885" w:type="dxa"/>
            <w:tcBorders>
              <w:top w:val="single" w:sz="4" w:space="0" w:color="auto"/>
              <w:left w:val="single" w:sz="4" w:space="0" w:color="auto"/>
              <w:bottom w:val="single" w:sz="4" w:space="0" w:color="auto"/>
              <w:right w:val="single" w:sz="4" w:space="0" w:color="auto"/>
            </w:tcBorders>
            <w:hideMark/>
          </w:tcPr>
          <w:p w14:paraId="53BD6777" w14:textId="77777777" w:rsidR="00E17073" w:rsidRPr="00E17073" w:rsidRDefault="00E17073" w:rsidP="00B96F1E">
            <w:pPr>
              <w:pStyle w:val="TAH"/>
              <w:rPr>
                <w:rFonts w:cs="Arial"/>
              </w:rPr>
            </w:pPr>
            <w:r w:rsidRPr="00E17073">
              <w:rPr>
                <w:rFonts w:cs="Arial"/>
              </w:rP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24372AA1" w14:textId="77777777" w:rsidR="00E17073" w:rsidRPr="00E17073" w:rsidRDefault="00E17073" w:rsidP="00B96F1E">
            <w:pPr>
              <w:pStyle w:val="TAH"/>
              <w:rPr>
                <w:rFonts w:cs="Arial"/>
              </w:rPr>
            </w:pPr>
            <w:r w:rsidRPr="00E17073">
              <w:rPr>
                <w:rFonts w:cs="Arial"/>
              </w:rPr>
              <w:t>Need for the eNB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736B39A1" w14:textId="77777777" w:rsidR="00E17073" w:rsidRPr="00E17073" w:rsidRDefault="00E17073" w:rsidP="00B96F1E">
            <w:pPr>
              <w:pStyle w:val="TAH"/>
              <w:rPr>
                <w:rFonts w:cs="Arial"/>
              </w:rPr>
            </w:pPr>
            <w:r w:rsidRPr="00E17073">
              <w:rPr>
                <w:rFonts w:cs="Arial"/>
              </w:rP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38EB8D7" w14:textId="77777777" w:rsidR="00E17073" w:rsidRPr="00E17073" w:rsidRDefault="00E17073" w:rsidP="00B96F1E">
            <w:pPr>
              <w:pStyle w:val="TAN"/>
              <w:ind w:left="0" w:firstLine="0"/>
              <w:rPr>
                <w:rFonts w:cs="Arial"/>
                <w:b/>
                <w:lang w:eastAsia="ja-JP"/>
              </w:rPr>
            </w:pPr>
            <w:r w:rsidRPr="00E17073">
              <w:rPr>
                <w:rFonts w:cs="Arial"/>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45560AEA" w14:textId="77777777" w:rsidR="00E17073" w:rsidRPr="00E17073" w:rsidRDefault="00E17073" w:rsidP="00B96F1E">
            <w:pPr>
              <w:pStyle w:val="TAN"/>
              <w:ind w:left="0" w:firstLine="0"/>
              <w:rPr>
                <w:rFonts w:cs="Arial"/>
                <w:b/>
                <w:lang w:eastAsia="ja-JP"/>
              </w:rPr>
            </w:pPr>
            <w:r w:rsidRPr="00E17073">
              <w:rPr>
                <w:rFonts w:cs="Arial"/>
                <w:b/>
                <w:lang w:eastAsia="ja-JP"/>
              </w:rPr>
              <w:t>Type</w:t>
            </w:r>
          </w:p>
          <w:p w14:paraId="10ED81C3" w14:textId="77777777" w:rsidR="00E17073" w:rsidRPr="00E17073" w:rsidRDefault="00E17073" w:rsidP="00B96F1E">
            <w:pPr>
              <w:pStyle w:val="TAL"/>
              <w:rPr>
                <w:rFonts w:cs="Arial"/>
                <w:lang w:eastAsia="ja-JP"/>
              </w:rPr>
            </w:pPr>
            <w:r w:rsidRPr="00E17073">
              <w:rPr>
                <w:rFonts w:cs="Arial"/>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297C5A6" w14:textId="77777777" w:rsidR="00E17073" w:rsidRPr="00E17073" w:rsidRDefault="00E17073" w:rsidP="00B96F1E">
            <w:pPr>
              <w:pStyle w:val="TAH"/>
              <w:rPr>
                <w:rFonts w:cs="Arial"/>
              </w:rPr>
            </w:pPr>
            <w:r w:rsidRPr="00E17073">
              <w:rPr>
                <w:rFonts w:cs="Arial"/>
              </w:rP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13862070" w14:textId="77777777" w:rsidR="00E17073" w:rsidRPr="00E17073" w:rsidRDefault="00E17073" w:rsidP="00B96F1E">
            <w:pPr>
              <w:pStyle w:val="TAH"/>
              <w:rPr>
                <w:rFonts w:cs="Arial"/>
                <w:lang w:eastAsia="x-none"/>
              </w:rPr>
            </w:pPr>
            <w:r w:rsidRPr="00E17073">
              <w:rPr>
                <w:rFonts w:cs="Arial"/>
              </w:rP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1B9725D5" w14:textId="77777777" w:rsidR="00E17073" w:rsidRPr="00E17073" w:rsidRDefault="00E17073" w:rsidP="00B96F1E">
            <w:pPr>
              <w:pStyle w:val="TAH"/>
              <w:rPr>
                <w:rFonts w:cs="Arial"/>
              </w:rPr>
            </w:pPr>
            <w:r w:rsidRPr="00E17073">
              <w:rPr>
                <w:rFonts w:cs="Arial"/>
              </w:rPr>
              <w:t>Note</w:t>
            </w:r>
          </w:p>
        </w:tc>
        <w:tc>
          <w:tcPr>
            <w:tcW w:w="1907" w:type="dxa"/>
            <w:tcBorders>
              <w:top w:val="single" w:sz="4" w:space="0" w:color="auto"/>
              <w:left w:val="single" w:sz="4" w:space="0" w:color="auto"/>
              <w:bottom w:val="single" w:sz="4" w:space="0" w:color="auto"/>
              <w:right w:val="single" w:sz="4" w:space="0" w:color="auto"/>
            </w:tcBorders>
            <w:hideMark/>
          </w:tcPr>
          <w:p w14:paraId="10932F41" w14:textId="77777777" w:rsidR="00E17073" w:rsidRPr="00E17073" w:rsidRDefault="00E17073" w:rsidP="00B96F1E">
            <w:pPr>
              <w:pStyle w:val="TAH"/>
              <w:rPr>
                <w:rFonts w:cs="Arial"/>
              </w:rPr>
            </w:pPr>
            <w:r w:rsidRPr="00E17073">
              <w:rPr>
                <w:rFonts w:cs="Arial"/>
              </w:rPr>
              <w:t>Mandatory/Optional</w:t>
            </w:r>
          </w:p>
        </w:tc>
      </w:tr>
      <w:tr w:rsidR="00E17073" w:rsidRPr="00E17073" w14:paraId="6A416590" w14:textId="77777777" w:rsidTr="00B96F1E">
        <w:tc>
          <w:tcPr>
            <w:tcW w:w="2648" w:type="dxa"/>
            <w:tcBorders>
              <w:top w:val="single" w:sz="4" w:space="0" w:color="auto"/>
              <w:left w:val="single" w:sz="4" w:space="0" w:color="auto"/>
              <w:bottom w:val="single" w:sz="4" w:space="0" w:color="auto"/>
              <w:right w:val="single" w:sz="4" w:space="0" w:color="auto"/>
            </w:tcBorders>
            <w:hideMark/>
          </w:tcPr>
          <w:p w14:paraId="04A4FF04" w14:textId="77777777" w:rsidR="00E17073" w:rsidRPr="00E17073" w:rsidRDefault="00E17073" w:rsidP="00B96F1E">
            <w:pPr>
              <w:pStyle w:val="TAL"/>
              <w:rPr>
                <w:rFonts w:cs="Arial"/>
                <w:lang w:eastAsia="ja-JP"/>
              </w:rPr>
            </w:pPr>
            <w:r w:rsidRPr="00E17073">
              <w:rPr>
                <w:rFonts w:cs="Arial"/>
                <w:szCs w:val="18"/>
                <w:lang w:eastAsia="ja-JP"/>
              </w:rPr>
              <w:t xml:space="preserve">3. </w:t>
            </w:r>
            <w:r w:rsidRPr="00E17073">
              <w:rPr>
                <w:rFonts w:cs="Arial"/>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48D7E7D6" w14:textId="77777777" w:rsidR="00E17073" w:rsidRPr="00E17073" w:rsidRDefault="00E17073" w:rsidP="00B96F1E">
            <w:pPr>
              <w:pStyle w:val="TAL"/>
              <w:rPr>
                <w:rFonts w:cs="Arial"/>
                <w:lang w:eastAsia="ja-JP"/>
              </w:rPr>
            </w:pPr>
            <w:r w:rsidRPr="00E17073">
              <w:rPr>
                <w:rFonts w:cs="Arial"/>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1DE5DD1A" w14:textId="77777777" w:rsidR="00E17073" w:rsidRPr="00E17073" w:rsidRDefault="00E17073" w:rsidP="00B96F1E">
            <w:pPr>
              <w:pStyle w:val="TAL"/>
              <w:rPr>
                <w:rFonts w:cs="Arial"/>
              </w:rPr>
            </w:pPr>
            <w:r w:rsidRPr="00E17073">
              <w:rPr>
                <w:rFonts w:cs="Arial"/>
              </w:rPr>
              <w:t>Support of new channel bandwidth for PMCH</w:t>
            </w:r>
          </w:p>
        </w:tc>
        <w:tc>
          <w:tcPr>
            <w:tcW w:w="2346" w:type="dxa"/>
            <w:tcBorders>
              <w:top w:val="single" w:sz="4" w:space="0" w:color="auto"/>
              <w:left w:val="single" w:sz="4" w:space="0" w:color="auto"/>
              <w:bottom w:val="single" w:sz="4" w:space="0" w:color="auto"/>
              <w:right w:val="single" w:sz="4" w:space="0" w:color="auto"/>
            </w:tcBorders>
          </w:tcPr>
          <w:p w14:paraId="165FF88D" w14:textId="77777777" w:rsidR="00E17073" w:rsidRPr="00E17073" w:rsidRDefault="00E17073" w:rsidP="00B96F1E">
            <w:pPr>
              <w:pStyle w:val="TAL"/>
              <w:rPr>
                <w:rFonts w:eastAsia="MS Mincho" w:cs="Arial"/>
                <w:lang w:eastAsia="ja-JP"/>
              </w:rPr>
            </w:pPr>
            <w:r w:rsidRPr="00E17073">
              <w:rPr>
                <w:rFonts w:eastAsia="MS Mincho" w:cs="Arial"/>
                <w:lang w:eastAsia="ja-JP"/>
              </w:rPr>
              <w:t xml:space="preserve">[TBD: whether separate components are </w:t>
            </w:r>
            <w:proofErr w:type="spellStart"/>
            <w:r w:rsidRPr="00E17073">
              <w:rPr>
                <w:rFonts w:eastAsia="MS Mincho" w:cs="Arial"/>
                <w:lang w:eastAsia="ja-JP"/>
              </w:rPr>
              <w:t>neded</w:t>
            </w:r>
            <w:proofErr w:type="spellEnd"/>
            <w:r w:rsidRPr="00E17073">
              <w:rPr>
                <w:rFonts w:eastAsia="MS Mincho" w:cs="Arial"/>
                <w:lang w:eastAsia="ja-JP"/>
              </w:rPr>
              <w:t xml:space="preserve"> for different bandwidths]</w:t>
            </w:r>
          </w:p>
        </w:tc>
        <w:tc>
          <w:tcPr>
            <w:tcW w:w="1885" w:type="dxa"/>
            <w:tcBorders>
              <w:top w:val="single" w:sz="4" w:space="0" w:color="auto"/>
              <w:left w:val="single" w:sz="4" w:space="0" w:color="auto"/>
              <w:bottom w:val="single" w:sz="4" w:space="0" w:color="auto"/>
              <w:right w:val="single" w:sz="4" w:space="0" w:color="auto"/>
            </w:tcBorders>
          </w:tcPr>
          <w:p w14:paraId="7ACF0559" w14:textId="77777777" w:rsidR="00E17073" w:rsidRPr="00E17073" w:rsidRDefault="00E17073" w:rsidP="00B96F1E">
            <w:pPr>
              <w:pStyle w:val="TAL"/>
              <w:rPr>
                <w:rFonts w:cs="Arial"/>
              </w:rPr>
            </w:pPr>
            <w:r w:rsidRPr="00E17073">
              <w:rPr>
                <w:rFonts w:cs="Arial"/>
              </w:rP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730D1626" w14:textId="77777777" w:rsidR="00E17073" w:rsidRPr="00E17073" w:rsidRDefault="00E17073" w:rsidP="00B96F1E">
            <w:pPr>
              <w:pStyle w:val="TAL"/>
              <w:rPr>
                <w:rFonts w:cs="Arial"/>
                <w:lang w:eastAsia="ja-JP"/>
              </w:rPr>
            </w:pPr>
            <w:r w:rsidRPr="00E17073">
              <w:rPr>
                <w:rFonts w:cs="Arial"/>
                <w:lang w:eastAsia="ja-JP"/>
              </w:rPr>
              <w:t>N</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817A285" w14:textId="77777777" w:rsidR="00E17073" w:rsidRPr="00E17073" w:rsidRDefault="00E17073" w:rsidP="00B96F1E">
            <w:pPr>
              <w:pStyle w:val="TAL"/>
              <w:rPr>
                <w:rFonts w:cs="Arial"/>
                <w:lang w:eastAsia="ja-JP"/>
              </w:rPr>
            </w:pPr>
          </w:p>
        </w:tc>
        <w:tc>
          <w:tcPr>
            <w:tcW w:w="1729" w:type="dxa"/>
            <w:tcBorders>
              <w:top w:val="single" w:sz="4" w:space="0" w:color="auto"/>
              <w:left w:val="single" w:sz="4" w:space="0" w:color="auto"/>
              <w:bottom w:val="single" w:sz="4" w:space="0" w:color="auto"/>
              <w:right w:val="single" w:sz="4" w:space="0" w:color="auto"/>
            </w:tcBorders>
          </w:tcPr>
          <w:p w14:paraId="1DC2A5C1" w14:textId="77777777" w:rsidR="00E17073" w:rsidRPr="00E17073" w:rsidRDefault="00E17073" w:rsidP="00B96F1E">
            <w:pPr>
              <w:pStyle w:val="TAL"/>
              <w:rPr>
                <w:rFonts w:cs="Arial"/>
                <w:lang w:eastAsia="ja-JP"/>
              </w:rPr>
            </w:pPr>
            <w:r w:rsidRPr="00E17073">
              <w:rPr>
                <w:rFonts w:cs="Arial"/>
                <w:lang w:eastAsia="ja-JP"/>
              </w:rPr>
              <w:t>UE cannot receive MBMS in the corresponding cell</w:t>
            </w:r>
          </w:p>
        </w:tc>
        <w:tc>
          <w:tcPr>
            <w:tcW w:w="1947" w:type="dxa"/>
            <w:tcBorders>
              <w:top w:val="single" w:sz="4" w:space="0" w:color="auto"/>
              <w:left w:val="single" w:sz="4" w:space="0" w:color="auto"/>
              <w:bottom w:val="single" w:sz="4" w:space="0" w:color="auto"/>
              <w:right w:val="single" w:sz="4" w:space="0" w:color="auto"/>
            </w:tcBorders>
          </w:tcPr>
          <w:p w14:paraId="4F5DA3FF" w14:textId="77777777" w:rsidR="00E17073" w:rsidRPr="00E17073" w:rsidRDefault="00E17073" w:rsidP="00B96F1E">
            <w:pPr>
              <w:pStyle w:val="TAL"/>
              <w:rPr>
                <w:rFonts w:cs="Arial"/>
                <w:lang w:eastAsia="ja-JP"/>
              </w:rPr>
            </w:pPr>
            <w:r w:rsidRPr="00E17073">
              <w:rPr>
                <w:rFonts w:cs="Arial"/>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56694108" w14:textId="77777777" w:rsidR="00E17073" w:rsidRPr="00E17073" w:rsidRDefault="00E17073" w:rsidP="00B96F1E">
            <w:pPr>
              <w:pStyle w:val="TAL"/>
              <w:rPr>
                <w:rFonts w:cs="Arial"/>
                <w:lang w:eastAsia="ja-JP"/>
              </w:rPr>
            </w:pPr>
            <w:r w:rsidRPr="00E17073">
              <w:rPr>
                <w:rFonts w:cs="Arial"/>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1EF0B01E" w14:textId="77777777" w:rsidR="00E17073" w:rsidRPr="00E17073" w:rsidRDefault="00E17073" w:rsidP="00B96F1E">
            <w:pPr>
              <w:pStyle w:val="TAL"/>
              <w:rPr>
                <w:rFonts w:cs="Arial"/>
                <w:lang w:eastAsia="ja-JP"/>
              </w:rPr>
            </w:pPr>
            <w:r w:rsidRPr="00E17073">
              <w:rPr>
                <w:rFonts w:cs="Arial"/>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12A12B12" w14:textId="77777777" w:rsidR="00E17073" w:rsidRPr="00E17073" w:rsidRDefault="00E17073" w:rsidP="00B96F1E">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4BFDFF8B" w14:textId="77777777" w:rsidR="00E17073" w:rsidRPr="00E17073" w:rsidRDefault="00E17073" w:rsidP="00B96F1E">
            <w:pPr>
              <w:pStyle w:val="TAL"/>
              <w:rPr>
                <w:rFonts w:cs="Arial"/>
                <w:lang w:eastAsia="ja-JP"/>
              </w:rPr>
            </w:pPr>
            <w:r w:rsidRPr="00E17073">
              <w:rPr>
                <w:rFonts w:cs="Arial"/>
                <w:lang w:eastAsia="ja-JP"/>
              </w:rPr>
              <w:t xml:space="preserve">[Optional with capability </w:t>
            </w:r>
            <w:proofErr w:type="spellStart"/>
            <w:r w:rsidRPr="00E17073">
              <w:rPr>
                <w:rFonts w:cs="Arial"/>
                <w:lang w:eastAsia="ja-JP"/>
              </w:rPr>
              <w:t>signaling</w:t>
            </w:r>
            <w:proofErr w:type="spellEnd"/>
            <w:r w:rsidRPr="00E17073">
              <w:rPr>
                <w:rFonts w:cs="Arial"/>
                <w:lang w:eastAsia="ja-JP"/>
              </w:rPr>
              <w:t>]</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01985" w14:textId="77777777" w:rsidR="00E93C4D" w:rsidRDefault="00E93C4D">
      <w:r>
        <w:separator/>
      </w:r>
    </w:p>
  </w:endnote>
  <w:endnote w:type="continuationSeparator" w:id="0">
    <w:p w14:paraId="41559EE5" w14:textId="77777777" w:rsidR="00E93C4D" w:rsidRDefault="00E9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37D1C" w14:textId="77777777" w:rsidR="00452617" w:rsidRDefault="00452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7A9A9" w14:textId="77777777" w:rsidR="00452617" w:rsidRDefault="00452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0836A" w14:textId="77777777" w:rsidR="00452617" w:rsidRDefault="00452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BAE0F" w14:textId="77777777" w:rsidR="00E93C4D" w:rsidRDefault="00E93C4D">
      <w:r>
        <w:separator/>
      </w:r>
    </w:p>
  </w:footnote>
  <w:footnote w:type="continuationSeparator" w:id="0">
    <w:p w14:paraId="65C9EC41" w14:textId="77777777" w:rsidR="00E93C4D" w:rsidRDefault="00E9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BF63F" w14:textId="77777777" w:rsidR="00452617" w:rsidRDefault="00452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C6779" w14:textId="77777777" w:rsidR="00452617" w:rsidRDefault="00452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7E7F" w14:textId="77777777" w:rsidR="00452617" w:rsidRDefault="0045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E467E1"/>
    <w:multiLevelType w:val="hybridMultilevel"/>
    <w:tmpl w:val="CF3A9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3"/>
  </w:num>
  <w:num w:numId="6">
    <w:abstractNumId w:val="25"/>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2"/>
  </w:num>
  <w:num w:numId="15">
    <w:abstractNumId w:val="14"/>
  </w:num>
  <w:num w:numId="16">
    <w:abstractNumId w:val="1"/>
  </w:num>
  <w:num w:numId="17">
    <w:abstractNumId w:val="20"/>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6"/>
  </w:num>
  <w:num w:numId="26">
    <w:abstractNumId w:val="23"/>
  </w:num>
  <w:num w:numId="27">
    <w:abstractNumId w:val="8"/>
  </w:num>
  <w:num w:numId="28">
    <w:abstractNumId w:val="7"/>
  </w:num>
  <w:num w:numId="29">
    <w:abstractNumId w:val="21"/>
  </w:num>
  <w:num w:numId="3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617"/>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EF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07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E1707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5AIRPNAIUNRU-1830940522-11829</_dlc_DocId>
    <_dlc_DocIdUrl xmlns="71c5aaf6-e6ce-465b-b873-5148d2a4c105">
      <Url>https://nokia.sharepoint.com/sites/c5g/5gradio/_layouts/15/DocIdRedir.aspx?ID=5AIRPNAIUNRU-1830940522-11829</Url>
      <Description>5AIRPNAIUNRU-1830940522-11829</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380</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2021-09-27T08:58:00Z</dcterms:created>
  <dcterms:modified xsi:type="dcterms:W3CDTF">2021-10-01T10:20:00Z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f9be3988-d717-4e0a-848d-4e56d5272997</vt:lpwstr>
  </property>
</Properties>
</file>